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379"/>
        <w:gridCol w:w="6566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73" w:type="dxa"/>
            <w:vAlign w:val="top"/>
            <w:textDirection w:val="lrTb"/>
            <w:noWrap w:val="false"/>
          </w:tcPr>
          <w:p>
            <w:pPr>
              <w:pStyle w:val="667"/>
              <w:ind w:firstLine="70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66" w:type="dxa"/>
            <w:vAlign w:val="top"/>
            <w:textDirection w:val="lrTb"/>
            <w:noWrap w:val="false"/>
          </w:tcPr>
          <w:p>
            <w:pPr>
              <w:pStyle w:val="660"/>
              <w:ind w:left="192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 администрации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   округ Краснодарского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24.02.2026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1922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0"/>
              <w:jc w:val="left"/>
              <w:tabs>
                <w:tab w:val="left" w:pos="2489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21.10.2020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left="1922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661"/>
              <w:ind w:firstLine="34"/>
              <w:spacing w:before="0" w:after="0"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pStyle w:val="661"/>
              <w:ind w:firstLine="34"/>
              <w:spacing w:before="0" w:after="0"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Паспорт</w:t>
              <w:br w:type="textWrapping" w:clear="all"/>
              <w:t xml:space="preserve">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660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«Развитие культуры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муниципальном образовании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Ленинградск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муниципальный округ Краснодарского края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</w:t>
              <w:br w:type="textWrapping" w:clear="all"/>
              <w:t xml:space="preserve">(Далее - Программа)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666"/>
              <w:ind w:firstLine="70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6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тдел культуры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округа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Методический центр развития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МКУ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МЦРК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 детская музыкальная школа станицы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Ленинградской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Ленинградский район (далее МБУ ДО ДМШ 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етская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кола искусств станицы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Крыловской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МБУ ДО ДШИ 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Крыловской);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дополнительного образования «Детская художественная школа станицы Ленинградской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МБУ ДО ДХШ 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«Ленинградская библиотека»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муниципальный округ 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МБУК ЛБ)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Ленинградский муниципальный округ 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историко-краеведческий музей» (далее МБУК «ЛИКМ»)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«Центр творчества и искусства»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МБУК «Центр творчества и искусства»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«Центр обеспечения деятельности учреждений культуры»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МКУ «ЦОДУК»)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приобщения граждан к культурным ценностям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крепление инфраструктуры отрасли, техническое и технологическое оснащение учреждений культуры; создание условий для равного доступа граждан к культурн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ым благам Ленинградского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(далее – муниципальный округ)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сохранение и развитие народной традиционной культуры, формирование единого культурного пространства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культурно-массовых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библиотек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музеев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4"/>
              <w:ind w:firstLine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ДШИ на начало учебного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муниципальной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 без деления на этапы.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бюджетных ассигнований муниципальной программы, вс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pStyle w:val="6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т.ч. по годам и источникам  финанс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45" w:type="dxa"/>
            <w:vAlign w:val="top"/>
            <w:textDirection w:val="lrTb"/>
            <w:noWrap w:val="false"/>
          </w:tcPr>
          <w:p>
            <w:pPr>
              <w:pStyle w:val="66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бъем финан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совых ресурсов, предусмотренных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на реал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изацию муниципальной программы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составляет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 364 360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 из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1 297 175,7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316 295,8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325 668,7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331 299,9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муниципальной программы из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едств 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63 263,0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61 148,3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677,2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704,9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732,6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из средств федерального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1 710,1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1 952,5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бъемы финансирования подлежат ежегодному уто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нению, исходя из возможностей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60"/>
        <w:ind w:firstLine="709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660"/>
        <w:ind w:firstLine="0"/>
        <w:jc w:val="center"/>
        <w:tabs>
          <w:tab w:val="left" w:pos="0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Характеристика текущего состояния и прогноз развития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firstLine="0"/>
        <w:jc w:val="center"/>
        <w:tabs>
          <w:tab w:val="left" w:pos="0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соответствующей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сферы реализации муниципальной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граммы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2"/>
          <w:szCs w:val="22"/>
          <w:lang w:bidi="he-IL"/>
        </w:rPr>
      </w:pPr>
      <w:r>
        <w:rPr>
          <w:rFonts w:ascii="Times New Roman" w:hAnsi="Times New Roman" w:cs="Times New Roman"/>
          <w:sz w:val="22"/>
          <w:szCs w:val="22"/>
          <w:lang w:bidi="he-IL"/>
        </w:rPr>
      </w:r>
      <w:r>
        <w:rPr>
          <w:rFonts w:ascii="Times New Roman" w:hAnsi="Times New Roman" w:cs="Times New Roman"/>
          <w:sz w:val="22"/>
          <w:szCs w:val="22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Структурные изменения в отрасли, связанные с реформой местного с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моуправления, требуют дополнительных усилий и финансов для сохранения единого культурного пространства на уровне 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, налаживания на новой основе культурных связей, диалога наци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нальных культур, а так же поддержки традиционной народной культуры.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В условиях недостаточного финансирования инновационных процессов в культуре необходимо дальнейшее совершенствование системы избирательной поддержки общественно значимых творческих инициатив.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Процессы информатизации современной жизни настоятельно требуют от учреждений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внедрения информационных технологий с целью более оперативного и качественного удовлетворения запросов посетителей.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Действующее законодательство предъявляет повышенные требования к созданию безопасных условий хранения и экспонирования музейных колле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к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ций, их эффективного использования в научно-исследовательских, образов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тельных и просветительских целях, реализации актуальных проектов в области музейного дела. Здание музея, в том числе помещения фондохранилищ, треб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у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ют расширения, ремонта, реконструкции и реставрации.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Требует совершенствования также деятельность по созданию безопа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ных условий хр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анения и использования библиотечных фондов, обеспечения безопасности зрителей учреждений, участников массовых культурно-досуговых мероприятий. Особого внимания требует проведение пожарно-охранных мероприятий на объектах культуры. Особую тревогу вызывает пр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тивопожарная безопасность учреждений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В течение многих лет учреждениям недостаточно выделялись денежные средства на проведение противопожарных мероприятий, в результате чего уровень противопожарной безопасности не соответствует современным требованиям и нормам.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tabs>
          <w:tab w:val="left" w:pos="284" w:leader="none"/>
        </w:tabs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В связи с неудовлетворительным состоянием помещений учреждений культуры, отсутствием в них высококачественной звуковой, свет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вой, видеопроекционной аппаратуры, музыкальных инструментов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, сценических костюмов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все более сложно создать комфортные условия для посетителей.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Использование программно-целевого метода позволит путем конкурсн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го отбора поддержать и профинансировать наиболее социально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-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значимые тво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ческие проекты, связанные как с внутренними процессами развития отрасли «Культура, искусство и кинематография» и составляющих ее под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отраслей, так и с презентационными акциями Краснодарского края.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276" w:lineRule="auto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Сеть учреждений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представлена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9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учреждениями, которые в соответствии с полномочиями, определенными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действующим законодательством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Российской Федерации, находятся на разных уровнях финансирования.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К полномочиям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относи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ся обеспечение функционирования 1 клубн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го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я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с 6 филиалами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, 10 структурными подразделениями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и МБУ кинотеатр «Горн»; к полномочиям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относится обеспечение функционирования 17 библиотек, муниципального бюджетного учреждения культуры «Ленинградский историко-краеведческий музей», 3 школ дополнительного образования детей, муниц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пального казенного учреждения «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етодический центр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развития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культуры».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color w:val="000000"/>
          <w:sz w:val="28"/>
          <w:szCs w:val="28"/>
          <w:lang w:bidi="he-IL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учреждениях культуры, в сравнении с предыдущими годами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оизошел рост клубных формирований самодеятельного народного творчества, с увеличением, соответственно и количеством участников. Этому способствовали учебные мероприятия, проводимые для специалистов культурно-досуговой деятельности – мастер-классы, выездные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семинары, семинары-практикумы. В учреждениях культуры стабильно работают формирования хорового жанра, как взрослые, так и детские: хоры, вокальные студии и ансамбли, ансамбли народной и казачьей песни, в подростковой и молодежной среде популярен эстрадный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хореографический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жанр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ы.</w:t>
      </w:r>
      <w:r>
        <w:rPr>
          <w:rFonts w:ascii="Times New Roman" w:hAnsi="Times New Roman" w:cs="Times New Roman"/>
          <w:color w:val="000000"/>
          <w:sz w:val="28"/>
          <w:szCs w:val="28"/>
          <w:lang w:bidi="he-IL"/>
        </w:rPr>
      </w:r>
      <w:r>
        <w:rPr>
          <w:rFonts w:ascii="Times New Roman" w:hAnsi="Times New Roman" w:cs="Times New Roman"/>
          <w:color w:val="000000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строй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проблемой в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сфере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является: недостаток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высококвалифицированных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кадров.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Одной из пр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чин является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0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отсутствие жилья, что приводит к тому, что многие выпускники образовательных учреждений культуры не работают по специальности в мун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ципальных учреждениях культуры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Дефицит кадров не позволяет в должной мере обеспечить качественный уровень проведения культурно-массовых мероприятий, организации работы клубных формирований творч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ских любительских объединений.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Отсутствие единого информационного и культурного пространства, препятствует  созданию условий для равного доступа жителей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к культурным ценностям и информационным ресурсам. 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Муниципальные библиотеки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испытывают острый дефицит в 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нежных  средствах  для  организации  подписк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  на   периодиче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ские  издания. Объем приобретения печатных изданий на электронных носителях, а также аудиовизуальных документов для библиотек рассчитывается в соответствии с нормативами книгообеспеченности, установленными Модельным стандартом деятельности публичной библио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теки, принятым Российской библио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течной ассоциацией. Годовой объем пополнения библиотечного фонда должен составлять не менее 250 экземпляров на 1000 жителей.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86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bidi="he-IL"/>
        </w:rPr>
        <w:t xml:space="preserve">З</w:t>
      </w:r>
      <w:r>
        <w:rPr>
          <w:sz w:val="28"/>
          <w:szCs w:val="28"/>
          <w:lang w:bidi="he-IL"/>
        </w:rPr>
        <w:t xml:space="preserve">а последние </w:t>
      </w:r>
      <w:r>
        <w:rPr>
          <w:sz w:val="28"/>
          <w:szCs w:val="28"/>
          <w:lang w:bidi="he-IL"/>
        </w:rPr>
        <w:t xml:space="preserve">2</w:t>
      </w:r>
      <w:r>
        <w:rPr>
          <w:sz w:val="28"/>
          <w:szCs w:val="28"/>
          <w:lang w:bidi="he-IL"/>
        </w:rPr>
        <w:t xml:space="preserve"> года на комплектование книжных фондов из средств бюджета муни</w:t>
      </w:r>
      <w:r>
        <w:rPr>
          <w:sz w:val="28"/>
          <w:szCs w:val="28"/>
          <w:lang w:bidi="he-IL"/>
        </w:rPr>
        <w:t xml:space="preserve">ципального образования выделено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5 547,2</w:t>
      </w:r>
      <w:r>
        <w:rPr>
          <w:sz w:val="28"/>
          <w:szCs w:val="28"/>
          <w:lang w:bidi="he-IL"/>
        </w:rPr>
        <w:t xml:space="preserve"> тыс. рублей.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В</w:t>
      </w:r>
      <w:r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году в МБУК «ЛБ» поступило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408</w:t>
      </w:r>
      <w:r>
        <w:rPr>
          <w:sz w:val="28"/>
          <w:szCs w:val="28"/>
        </w:rPr>
        <w:t xml:space="preserve"> экз. документов, что составило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% от общего фонда:</w:t>
      </w:r>
      <w:r>
        <w:rPr>
          <w:sz w:val="28"/>
          <w:szCs w:val="28"/>
        </w:rPr>
      </w:r>
    </w:p>
    <w:p>
      <w:pPr>
        <w:pStyle w:val="686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федеральная субсидия –  </w:t>
      </w:r>
      <w:r>
        <w:rPr>
          <w:sz w:val="28"/>
          <w:szCs w:val="28"/>
        </w:rPr>
        <w:t xml:space="preserve">1611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экз. на сумму </w:t>
      </w:r>
      <w:r>
        <w:rPr>
          <w:sz w:val="28"/>
          <w:szCs w:val="28"/>
        </w:rPr>
        <w:t xml:space="preserve">879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краевая субсидия – </w:t>
      </w:r>
      <w:r>
        <w:rPr>
          <w:sz w:val="28"/>
          <w:szCs w:val="28"/>
        </w:rPr>
        <w:t xml:space="preserve">44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,3</w:t>
      </w:r>
      <w:r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субсидия из местного бюджета – </w:t>
      </w:r>
      <w:r>
        <w:rPr>
          <w:sz w:val="28"/>
          <w:szCs w:val="28"/>
        </w:rPr>
        <w:t xml:space="preserve">247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13</w:t>
      </w:r>
      <w:r>
        <w:rPr>
          <w:sz w:val="28"/>
          <w:szCs w:val="28"/>
        </w:rPr>
        <w:t xml:space="preserve">2,9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рублей;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7"/>
          <w:szCs w:val="27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краевая целевая программа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Развитие культуры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119</w:t>
      </w:r>
      <w:r>
        <w:rPr>
          <w:sz w:val="28"/>
          <w:szCs w:val="28"/>
        </w:rPr>
        <w:t xml:space="preserve"> экз. на сумму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76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  <w:t xml:space="preserve">1</w:t>
      </w:r>
      <w:r>
        <w:rPr>
          <w:sz w:val="27"/>
          <w:szCs w:val="27"/>
        </w:rPr>
        <w:t xml:space="preserve"> тыс. руб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  <w:t xml:space="preserve">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православная энциклопедия – 24 экз., на сумму 32 тыс. 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за счет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бюджета -</w:t>
      </w:r>
      <w:r>
        <w:rPr>
          <w:sz w:val="28"/>
          <w:szCs w:val="28"/>
        </w:rPr>
        <w:t xml:space="preserve">2560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00,0 тыс. руб.;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7"/>
          <w:szCs w:val="27"/>
        </w:rPr>
      </w:pPr>
      <w:r>
        <w:rPr>
          <w:sz w:val="28"/>
          <w:szCs w:val="28"/>
        </w:rPr>
        <w:t xml:space="preserve">- модельная библиотека – 149 экз., на сумму 90,0 тыс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рублей.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Из внебюджетных средств (пожертвования, замена утерянных) – </w:t>
      </w:r>
      <w:r>
        <w:rPr>
          <w:sz w:val="28"/>
          <w:szCs w:val="28"/>
        </w:rPr>
        <w:t xml:space="preserve">654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92,9</w:t>
      </w:r>
      <w:r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20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 году в МБУК «ЛБ» поступило </w:t>
      </w:r>
      <w:r>
        <w:rPr>
          <w:sz w:val="28"/>
          <w:szCs w:val="28"/>
        </w:rPr>
        <w:t xml:space="preserve">4369</w:t>
      </w:r>
      <w:r>
        <w:rPr>
          <w:sz w:val="28"/>
          <w:szCs w:val="28"/>
        </w:rPr>
        <w:t xml:space="preserve"> экз. документов, что составило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,3 % от общего фонда: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за счет местного бюджета -</w:t>
      </w:r>
      <w:r>
        <w:rPr>
          <w:sz w:val="28"/>
          <w:szCs w:val="28"/>
        </w:rPr>
        <w:t xml:space="preserve">3518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1351,1</w:t>
      </w:r>
      <w:r>
        <w:rPr>
          <w:sz w:val="28"/>
          <w:szCs w:val="28"/>
        </w:rPr>
        <w:t xml:space="preserve">,0 тыс. руб.;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федеральная субсидия – </w:t>
      </w:r>
      <w:r>
        <w:rPr>
          <w:sz w:val="28"/>
          <w:szCs w:val="28"/>
        </w:rPr>
        <w:t xml:space="preserve">554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186,5</w:t>
      </w:r>
      <w:r>
        <w:rPr>
          <w:sz w:val="28"/>
          <w:szCs w:val="28"/>
        </w:rPr>
        <w:t xml:space="preserve"> тыс. руб.;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краевая субсидия – </w:t>
      </w:r>
      <w:r>
        <w:rPr>
          <w:sz w:val="28"/>
          <w:szCs w:val="28"/>
        </w:rPr>
        <w:t xml:space="preserve">156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52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тыс. руб.;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местная субсидия – </w:t>
      </w:r>
      <w:r>
        <w:rPr>
          <w:sz w:val="28"/>
          <w:szCs w:val="28"/>
        </w:rPr>
        <w:t xml:space="preserve">97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2,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руб.; </w:t>
      </w:r>
      <w:r>
        <w:rPr>
          <w:sz w:val="28"/>
          <w:szCs w:val="28"/>
        </w:rPr>
      </w:r>
    </w:p>
    <w:p>
      <w:pPr>
        <w:pStyle w:val="686"/>
        <w:ind w:firstLine="70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через ККУНБ им. А.С. Пушкина - 44 экз. на сумму –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jc w:val="both"/>
        <w:spacing w:before="0" w:beforeAutospacing="0" w:after="0" w:afterAutospacing="0"/>
        <w:rPr>
          <w:sz w:val="27"/>
          <w:szCs w:val="27"/>
        </w:rPr>
      </w:pPr>
      <w:r>
        <w:rPr>
          <w:sz w:val="28"/>
          <w:szCs w:val="28"/>
        </w:rPr>
        <w:t xml:space="preserve">Из внебюджетных средств (пожертвования, замена утерянных) – </w:t>
      </w:r>
      <w:r>
        <w:rPr>
          <w:sz w:val="28"/>
          <w:szCs w:val="28"/>
        </w:rPr>
        <w:t xml:space="preserve">516</w:t>
      </w:r>
      <w:r>
        <w:rPr>
          <w:sz w:val="28"/>
          <w:szCs w:val="28"/>
        </w:rPr>
        <w:t xml:space="preserve"> экз. на сумму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</w:rPr>
        <w:t xml:space="preserve">руб.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К</w:t>
      </w:r>
      <w:r>
        <w:rPr>
          <w:sz w:val="28"/>
          <w:szCs w:val="28"/>
          <w:lang w:bidi="he-IL"/>
        </w:rPr>
        <w:t xml:space="preserve">оличество приобретаемой литературы </w:t>
      </w:r>
      <w:r>
        <w:rPr>
          <w:sz w:val="28"/>
          <w:szCs w:val="28"/>
          <w:lang w:bidi="he-IL"/>
        </w:rPr>
        <w:t xml:space="preserve">увеличивается</w:t>
      </w:r>
      <w:r>
        <w:rPr>
          <w:sz w:val="28"/>
          <w:szCs w:val="28"/>
          <w:lang w:bidi="he-IL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</w:t>
      </w:r>
      <w:r>
        <w:rPr>
          <w:rFonts w:ascii="Times New Roman" w:hAnsi="Times New Roman" w:cs="Times New Roman"/>
          <w:sz w:val="28"/>
          <w:szCs w:val="28"/>
        </w:rPr>
        <w:t xml:space="preserve"> относится к числу </w:t>
      </w:r>
      <w:r>
        <w:rPr>
          <w:rFonts w:ascii="Times New Roman" w:hAnsi="Times New Roman" w:cs="Times New Roman"/>
          <w:sz w:val="28"/>
          <w:szCs w:val="28"/>
        </w:rPr>
        <w:t xml:space="preserve">территорий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Российской Федерации с развитой сетью художественных и музыкально-образовательных учреждений.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созданы основные условия для удовлетворения возросших потребностей подрастающего поколения в художественно-эстетическом образовании.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 ежегодно проводя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ся региональные фестивали и конкурсы в сфере культуры и искусства с участ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ем детских и юношеских творческих коллективов учебных заведений Красн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края. Все это стало возможным в результате созидательной культу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ной политики, проводимой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учебные заведения начального художественно-эстетического образования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имеют слабую материально-техническую базу. Музыкальные инструменты требуют замены или ремонта, из-за длительной эксплуатации имеют непригля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ный вид сценические костюмы, в недостаточном количестве имеется компь</w:t>
      </w:r>
      <w:r>
        <w:rPr>
          <w:rFonts w:ascii="Times New Roman" w:hAnsi="Times New Roman" w:cs="Times New Roman"/>
          <w:sz w:val="28"/>
          <w:szCs w:val="28"/>
        </w:rPr>
        <w:t xml:space="preserve">ю</w:t>
      </w:r>
      <w:r>
        <w:rPr>
          <w:rFonts w:ascii="Times New Roman" w:hAnsi="Times New Roman" w:cs="Times New Roman"/>
          <w:sz w:val="28"/>
          <w:szCs w:val="28"/>
        </w:rPr>
        <w:t xml:space="preserve">терная техника.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настоящей Программы позволит повысить уровень эстетич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ского воспитания учащихся, конкурентоспособность детских и юношеских творческих коллективов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, улучшить координацию деятельности органов и учреждений образования и культуры с целью формиров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ния художественной культуры подрастающего поколения 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б</w:t>
      </w:r>
      <w:r>
        <w:rPr>
          <w:rFonts w:ascii="Times New Roman" w:hAnsi="Times New Roman" w:cs="Times New Roman"/>
          <w:sz w:val="28"/>
          <w:szCs w:val="28"/>
        </w:rPr>
        <w:t xml:space="preserve">разования Ленинградский </w:t>
      </w:r>
      <w:r>
        <w:rPr>
          <w:rFonts w:ascii="Times New Roman" w:hAnsi="Times New Roman" w:cs="Times New Roman"/>
          <w:sz w:val="28"/>
          <w:szCs w:val="28"/>
        </w:rPr>
        <w:t xml:space="preserve">округ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spacing w:line="317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Участие в краевых целевых программах позволило улучшить матер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ально-техническую базу учреждений культуры. В настоящее время приорите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т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ными задачами в сфере культуры муниципального образования являются, с о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д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ной стороны обеспечение сохранности народных традиций, историко-культурного наследия с другой - создание условий, позволяющих эффективно развиваться культуре Ленинградского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80"/>
        <w:ind w:firstLine="0"/>
        <w:jc w:val="center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Цели, задачи и целевые показатели, сроки и этапы реализации муниципал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80"/>
        <w:ind w:firstLine="709"/>
        <w:jc w:val="center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программы: 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– 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не предусмотр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ны.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приведены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риложение</w:t>
      </w:r>
      <w:r>
        <w:rPr>
          <w:rFonts w:ascii="Times New Roman" w:hAnsi="Times New Roman" w:cs="Times New Roman"/>
          <w:sz w:val="28"/>
          <w:szCs w:val="28"/>
        </w:rPr>
        <w:t xml:space="preserve"> 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Отдельные целевые показатели программы могут не иметь полож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тельной динамики либо сохранять свои значения, так как рассчитываются с учетом планируемого объема финансирования.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2"/>
        <w:ind w:left="0"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целевых показателей подлежат ежегодному уточнению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целями Программы являются расширение доступа различных категорий н</w:t>
      </w:r>
      <w:r>
        <w:rPr>
          <w:rFonts w:ascii="Times New Roman" w:hAnsi="Times New Roman" w:cs="Times New Roman"/>
          <w:sz w:val="28"/>
          <w:szCs w:val="28"/>
        </w:rPr>
        <w:t xml:space="preserve">аселения </w:t>
      </w:r>
      <w:r>
        <w:rPr>
          <w:rFonts w:ascii="Times New Roman" w:hAnsi="Times New Roman" w:cs="Times New Roman"/>
          <w:sz w:val="28"/>
          <w:szCs w:val="28"/>
        </w:rPr>
        <w:t xml:space="preserve"> к достижениям культуры, и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кусства и кинематографии, повышен</w:t>
      </w:r>
      <w:r>
        <w:rPr>
          <w:rFonts w:ascii="Times New Roman" w:hAnsi="Times New Roman" w:cs="Times New Roman"/>
          <w:sz w:val="28"/>
          <w:szCs w:val="28"/>
        </w:rPr>
        <w:t xml:space="preserve">ие конкурентоспособности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творческих</w:t>
      </w:r>
      <w:r>
        <w:rPr>
          <w:rFonts w:ascii="Times New Roman" w:hAnsi="Times New Roman" w:cs="Times New Roman"/>
          <w:sz w:val="28"/>
          <w:szCs w:val="28"/>
        </w:rPr>
        <w:t xml:space="preserve"> коллективов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достижения основных целей Программы предполагается: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создание условий для адаптации сферы культуры, к рыночным условиям существования;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компенсация отрицательных воздействий рыночных механизмов на пр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фессиональное искусство посредством его адресной поддержки;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сохранение историко-культурного наследия, развитие и взаимодействие национальных культур народов и этнических групп,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внедрение информационных технологий и формирование информацио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ных сетей в сфере культуры, искусства и кинематографии;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сокращение территориальной дифференциации в получении культурно-досуговых услуг;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сохранение и пополнение кадрового потенциала в сфере культуры и иску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ства;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firstLine="709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улучшение технологической оснащенности организаций культуры и кин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матографии.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tabs>
          <w:tab w:val="left" w:pos="42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  <w:tab w:val="clear" w:pos="1080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Перечень и краткое описание основных мероприятий муниципальной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граммы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left="1080" w:firstLine="709"/>
        <w:jc w:val="center"/>
        <w:tabs>
          <w:tab w:val="left" w:pos="28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0"/>
        <w:ind w:right="7" w:firstLine="709"/>
        <w:spacing w:before="14" w:line="324" w:lineRule="exact"/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Программы приведен в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2</w:t>
      </w:r>
      <w:r>
        <w:rPr>
          <w:rFonts w:ascii="Times New Roman" w:hAnsi="Times New Roman" w:cs="Times New Roman"/>
          <w:spacing w:val="-1"/>
          <w:sz w:val="28"/>
          <w:szCs w:val="28"/>
        </w:rPr>
      </w:r>
      <w:r>
        <w:rPr>
          <w:rFonts w:ascii="Times New Roman" w:hAnsi="Times New Roman" w:cs="Times New Roman"/>
          <w:spacing w:val="-1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Обоснование ресурсного обеспечения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60"/>
        <w:ind w:firstLine="709"/>
        <w:tabs>
          <w:tab w:val="left" w:pos="28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предусматривается за счет средств краевого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муниципального бюджето</w:t>
      </w:r>
      <w:r>
        <w:rPr>
          <w:rFonts w:ascii="Times New Roman" w:hAnsi="Times New Roman" w:cs="Times New Roman"/>
          <w:sz w:val="28"/>
          <w:szCs w:val="28"/>
        </w:rPr>
        <w:t xml:space="preserve">в.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spacing w:line="322" w:lineRule="exact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Главным распорядителем бюджетных средств всех подведомственных учреждений является отдел культуры администрации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Ленинградского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bidi="he-IL"/>
        </w:rPr>
      </w:r>
      <w:r>
        <w:rPr>
          <w:rFonts w:ascii="Times New Roman" w:hAnsi="Times New Roman" w:cs="Times New Roman"/>
          <w:sz w:val="28"/>
          <w:szCs w:val="28"/>
          <w:lang w:bidi="he-IL"/>
        </w:rPr>
      </w:r>
    </w:p>
    <w:p>
      <w:pPr>
        <w:pStyle w:val="66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Объемы бюджетных ассигнований муниципальной программы пре</w:t>
      </w:r>
      <w:r>
        <w:rPr>
          <w:rFonts w:ascii="Times New Roman" w:hAnsi="Times New Roman" w:cs="Times New Roman"/>
          <w:bCs/>
          <w:sz w:val="28"/>
          <w:szCs w:val="28"/>
        </w:rPr>
        <w:t xml:space="preserve">д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ставлены в таблице  1.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6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499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702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61148,3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677,2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704,9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732,6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1"/>
              <w:ind w:left="0" w:firstLine="33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324361,3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316295,8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325 668,7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331 299,9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1710,1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1952,5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693" w:type="dxa"/>
            <w:vAlign w:val="top"/>
            <w:textDirection w:val="lrTb"/>
            <w:noWrap w:val="false"/>
          </w:tcPr>
          <w:p>
            <w:pPr>
              <w:pStyle w:val="671"/>
              <w:ind w:left="0" w:firstLine="33"/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Всего, 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387 219,7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318 925,5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2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326 633,1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6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332 032,5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6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</w:rPr>
        <w:t xml:space="preserve">Предполагается привлечение средств краевого бюджета в рамках </w:t>
      </w:r>
      <w:r>
        <w:rPr>
          <w:rFonts w:ascii="Times New Roman" w:hAnsi="Times New Roman" w:cs="Times New Roman"/>
          <w:spacing w:val="4"/>
          <w:sz w:val="28"/>
        </w:rPr>
        <w:t xml:space="preserve">г</w:t>
      </w:r>
      <w:r>
        <w:rPr>
          <w:rFonts w:ascii="Times New Roman" w:hAnsi="Times New Roman" w:cs="Times New Roman"/>
          <w:spacing w:val="4"/>
          <w:sz w:val="28"/>
        </w:rPr>
        <w:t xml:space="preserve">о</w:t>
      </w:r>
      <w:r>
        <w:rPr>
          <w:rFonts w:ascii="Times New Roman" w:hAnsi="Times New Roman" w:cs="Times New Roman"/>
          <w:spacing w:val="4"/>
          <w:sz w:val="28"/>
        </w:rPr>
        <w:t xml:space="preserve">сударственной программы Краснодарского края «</w:t>
      </w:r>
      <w:r>
        <w:rPr>
          <w:rFonts w:ascii="Times New Roman" w:hAnsi="Times New Roman" w:cs="Times New Roman"/>
          <w:spacing w:val="4"/>
          <w:sz w:val="28"/>
        </w:rPr>
        <w:t xml:space="preserve">Развитие культуры»</w:t>
      </w:r>
      <w:r>
        <w:rPr>
          <w:rFonts w:ascii="Times New Roman" w:hAnsi="Times New Roman" w:cs="Times New Roman"/>
          <w:spacing w:val="4"/>
          <w:sz w:val="28"/>
        </w:rPr>
        <w:t xml:space="preserve">, утвержденной постановлением главы администрации (губернатора) Краснодарского края</w:t>
      </w:r>
      <w:r>
        <w:rPr>
          <w:rFonts w:ascii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</w:rPr>
        <w:t xml:space="preserve">от </w:t>
      </w:r>
      <w:r>
        <w:rPr>
          <w:rFonts w:ascii="Times New Roman" w:hAnsi="Times New Roman" w:cs="Times New Roman"/>
          <w:spacing w:val="4"/>
          <w:sz w:val="28"/>
        </w:rPr>
        <w:t xml:space="preserve">22 октября</w:t>
      </w:r>
      <w:r>
        <w:rPr>
          <w:rFonts w:ascii="Times New Roman" w:hAnsi="Times New Roman" w:cs="Times New Roman"/>
          <w:spacing w:val="4"/>
          <w:sz w:val="28"/>
        </w:rPr>
        <w:t xml:space="preserve"> 20</w:t>
      </w:r>
      <w:r>
        <w:rPr>
          <w:rFonts w:ascii="Times New Roman" w:hAnsi="Times New Roman" w:cs="Times New Roman"/>
          <w:spacing w:val="4"/>
          <w:sz w:val="28"/>
        </w:rPr>
        <w:t xml:space="preserve">15</w:t>
      </w:r>
      <w:r>
        <w:rPr>
          <w:rFonts w:ascii="Times New Roman" w:hAnsi="Times New Roman" w:cs="Times New Roman"/>
          <w:spacing w:val="4"/>
          <w:sz w:val="28"/>
        </w:rPr>
        <w:t xml:space="preserve"> г. № </w:t>
      </w:r>
      <w:r>
        <w:rPr>
          <w:rFonts w:ascii="Times New Roman" w:hAnsi="Times New Roman" w:cs="Times New Roman"/>
          <w:spacing w:val="4"/>
          <w:sz w:val="28"/>
        </w:rPr>
        <w:t xml:space="preserve">986</w:t>
      </w:r>
      <w:r>
        <w:rPr>
          <w:rFonts w:ascii="Times New Roman" w:hAnsi="Times New Roman" w:cs="Times New Roman"/>
          <w:spacing w:val="4"/>
          <w:sz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Расчет финансового обеспечения реализации программных меропри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я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тий произведен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участниками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с применением ка</w:t>
      </w:r>
      <w:r>
        <w:rPr>
          <w:rFonts w:ascii="Times New Roman" w:hAnsi="Times New Roman" w:cs="Times New Roman"/>
          <w:bCs/>
          <w:sz w:val="28"/>
          <w:szCs w:val="28"/>
        </w:rPr>
        <w:t xml:space="preserve">с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сового метода на основании расходов на аналогичные виды товаров, работ и услуг в период реализации предыдущей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 xml:space="preserve">Развитие культуры Ленинградского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bCs/>
          <w:sz w:val="28"/>
          <w:szCs w:val="28"/>
        </w:rPr>
        <w:t xml:space="preserve">. Расчет произведен с учетом нео</w:t>
      </w:r>
      <w:r>
        <w:rPr>
          <w:rFonts w:ascii="Times New Roman" w:hAnsi="Times New Roman" w:cs="Times New Roman"/>
          <w:bCs/>
          <w:sz w:val="28"/>
          <w:szCs w:val="28"/>
        </w:rPr>
        <w:t xml:space="preserve">б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ходимости решения поставленных задач в части </w:t>
      </w:r>
      <w:r>
        <w:rPr>
          <w:rFonts w:ascii="Times New Roman" w:hAnsi="Times New Roman" w:cs="Times New Roman"/>
          <w:sz w:val="28"/>
          <w:szCs w:val="28"/>
        </w:rPr>
        <w:t xml:space="preserve">сохранения достигнутого уровня </w:t>
      </w:r>
      <w:r>
        <w:rPr>
          <w:rFonts w:ascii="Times New Roman" w:hAnsi="Times New Roman" w:cs="Times New Roman"/>
          <w:sz w:val="28"/>
          <w:szCs w:val="28"/>
        </w:rPr>
        <w:t xml:space="preserve">показателей прошлых лет в отрасли культуры.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муниципальной программы представлено в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60"/>
        <w:ind w:firstLine="709"/>
        <w:tabs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Общий планируемый объем финансирования программы будет уточняться в зависимости от принятых на региональном и местном уровне реш</w:t>
      </w:r>
      <w:r>
        <w:rPr>
          <w:rFonts w:ascii="Times New Roman" w:hAnsi="Times New Roman" w:cs="Times New Roman"/>
          <w:bCs/>
          <w:sz w:val="28"/>
          <w:szCs w:val="28"/>
        </w:rPr>
        <w:t xml:space="preserve">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ний об объемах выделяемых средств.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tabs>
          <w:tab w:val="left" w:pos="284" w:leader="none"/>
          <w:tab w:val="left" w:pos="567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Методика оценки эффективности реализации муниципальной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граммы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60"/>
        <w:ind w:firstLine="709"/>
        <w:jc w:val="center"/>
        <w:tabs>
          <w:tab w:val="left" w:pos="28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расчета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целевых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осуществляется в соответствии с типовой методикой оценки эффективности реализации программы,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муниципального образования Ленинградский район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 xml:space="preserve">1352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программами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Механизм реализации муниципальной Программы и контроль за её выполн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нием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программой осуществляет координатор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– отдел культуры 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в процессе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 мониторинг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 предоставляет отчет о выполнении муниципальной программы в отдел экономики 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 округа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 ежегодный доклад о ходе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и оценке эффективности ее реализации;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программой;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 осуществляет ведомственный контроль за соблюдением законодательства Российской Федерации о контрактной системе в сфере закупок учреждений культуры, подведомственных отделу культуры;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учреждения, находящиеся в ведении отдела культуры ежеквартально до </w:t>
      </w:r>
      <w:r>
        <w:rPr>
          <w:rFonts w:ascii="Times New Roman" w:hAnsi="Times New Roman" w:cs="Times New Roman"/>
          <w:sz w:val="28"/>
          <w:szCs w:val="28"/>
        </w:rPr>
        <w:t xml:space="preserve">20</w:t>
      </w:r>
      <w:r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предоставляют отчет о выполнении муниципального задания;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культуры 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(главный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распорядитель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бюджетных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средств)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обязательном порядке согласовывает муниципальные контракты, заключаемые подведомственными учреждениями.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709"/>
        <w:tabs>
          <w:tab w:val="left" w:pos="28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условия предоставления компенсационных выплат работникам муниципальных учреждений культуры, искусства и кинематографии Краснодарского края, связанных с возмещением расходов по оплате жилых помещений по договорам найма, ус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танавливается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главы муниципального образования Ленинградский район от 17 февраля 2005 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107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 предоставлении мер социальной поддержки по оплате труда, отопления, освещения отдельным категориям граждан работающим и проживающим в сельской местности».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Механизм реализации программы предполагает: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1. Закупку товаров, работ, услуг для муниципальных нужд за счёт средств местного бюджета в соответствии с Федеральным законом от 5 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п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реля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2013 г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представление субсидий муниципальным казенным, бюджетным и автоно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ным учреждениям муниципального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2.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Предоставление в установленном законодательством порядке субсидий из местного бюджета муниципальным бюджетным и автономным учреждениям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на иные цели в соответствии с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правовыми актами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Ленинградского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 Предоставление субсидий  муниципальным  бюджетным и а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в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тономным учреждениям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в целях финансового обеспечения выполнения м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у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ниципального задания осуществляется  в соответствии  с  постановлением администрации муниципального образования Ленинградский район от 21 октября 2015 г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№ 816 «О порядке формирования муниципального задания на оказание муниципальных услуг (выполнения работ) в отношении муниципальных учреждений муниципального образования Ленинградский район и финансового обеспечения выполнения муниципального задания»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муниципального образования Ле</w:t>
      </w:r>
      <w:r>
        <w:rPr>
          <w:rFonts w:ascii="Times New Roman" w:hAnsi="Times New Roman" w:cs="Times New Roman"/>
          <w:sz w:val="28"/>
          <w:szCs w:val="28"/>
        </w:rPr>
        <w:t xml:space="preserve">нинградский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 xml:space="preserve">1352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программами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Краснодарского края»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</w:r>
      <w:r>
        <w:rPr>
          <w:rFonts w:ascii="Times New Roman" w:hAnsi="Times New Roman" w:cs="Times New Roman"/>
          <w:spacing w:val="4"/>
          <w:sz w:val="28"/>
          <w:szCs w:val="28"/>
        </w:rPr>
      </w:r>
    </w:p>
    <w:p>
      <w:pPr>
        <w:pStyle w:val="66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чальник отдела культуры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Ленинградск</w:t>
      </w:r>
      <w:r>
        <w:rPr>
          <w:rFonts w:ascii="Times New Roman" w:hAnsi="Times New Roman" w:cs="Times New Roman"/>
          <w:sz w:val="28"/>
          <w:szCs w:val="28"/>
        </w:rPr>
        <w:t xml:space="preserve"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Подкидышева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624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8"/>
      <w:rPr>
        <w:rStyle w:val="678"/>
        <w:rFonts w:ascii="Times New Roman" w:hAnsi="Times New Roman"/>
      </w:rPr>
      <w:framePr w:wrap="around" w:vAnchor="text" w:hAnchor="page" w:x="6022" w:y="61"/>
    </w:pPr>
    <w:r>
      <w:rPr>
        <w:rStyle w:val="678"/>
        <w:rFonts w:ascii="Times New Roman" w:hAnsi="Times New Roman"/>
      </w:rPr>
      <w:fldChar w:fldCharType="begin"/>
    </w:r>
    <w:r>
      <w:rPr>
        <w:rStyle w:val="678"/>
        <w:rFonts w:ascii="Times New Roman" w:hAnsi="Times New Roman"/>
      </w:rPr>
      <w:instrText xml:space="preserve">PAGE  </w:instrText>
    </w:r>
    <w:r>
      <w:rPr>
        <w:rStyle w:val="678"/>
        <w:rFonts w:ascii="Times New Roman" w:hAnsi="Times New Roman"/>
      </w:rPr>
      <w:fldChar w:fldCharType="separate"/>
    </w:r>
    <w:r>
      <w:rPr>
        <w:rStyle w:val="678"/>
        <w:rFonts w:ascii="Times New Roman" w:hAnsi="Times New Roman"/>
      </w:rPr>
      <w:t xml:space="preserve">10</w:t>
    </w:r>
    <w:r>
      <w:rPr>
        <w:rStyle w:val="678"/>
        <w:rFonts w:ascii="Times New Roman" w:hAnsi="Times New Roman"/>
      </w:rPr>
      <w:fldChar w:fldCharType="end"/>
    </w:r>
    <w:r>
      <w:rPr>
        <w:rStyle w:val="678"/>
        <w:rFonts w:ascii="Times New Roman" w:hAnsi="Times New Roman"/>
      </w:rPr>
    </w:r>
    <w:r>
      <w:rPr>
        <w:rStyle w:val="678"/>
        <w:rFonts w:ascii="Times New Roman" w:hAnsi="Times New Roman"/>
      </w:rPr>
    </w:r>
  </w:p>
  <w:p>
    <w:pPr>
      <w:pStyle w:val="668"/>
      <w:jc w:val="center"/>
    </w:pPr>
    <w:r/>
    <w:r/>
  </w:p>
  <w:p>
    <w:pPr>
      <w:pStyle w:val="66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8"/>
      <w:rPr>
        <w:rStyle w:val="678"/>
      </w:rPr>
      <w:framePr w:wrap="around" w:vAnchor="text" w:hAnchor="margin" w:xAlign="center" w:y="1"/>
    </w:pPr>
    <w:r>
      <w:rPr>
        <w:rStyle w:val="678"/>
      </w:rPr>
      <w:fldChar w:fldCharType="begin"/>
    </w:r>
    <w:r>
      <w:rPr>
        <w:rStyle w:val="678"/>
      </w:rPr>
      <w:instrText xml:space="preserve">PAGE  </w:instrText>
    </w:r>
    <w:r>
      <w:rPr>
        <w:rStyle w:val="678"/>
      </w:rPr>
      <w:fldChar w:fldCharType="end"/>
    </w:r>
    <w:r>
      <w:rPr>
        <w:rStyle w:val="678"/>
      </w:rPr>
    </w:r>
    <w:r>
      <w:rPr>
        <w:rStyle w:val="678"/>
      </w:rPr>
    </w:r>
  </w:p>
  <w:p>
    <w:pPr>
      <w:pStyle w:val="6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0"/>
    <w:next w:val="66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0"/>
    <w:next w:val="66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0"/>
    <w:next w:val="66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0"/>
    <w:next w:val="66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0"/>
    <w:next w:val="66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0"/>
    <w:next w:val="66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0"/>
    <w:next w:val="66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0"/>
    <w:next w:val="66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0"/>
    <w:next w:val="66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0"/>
    <w:next w:val="66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60"/>
    <w:next w:val="66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60"/>
    <w:next w:val="66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0"/>
    <w:next w:val="66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0"/>
    <w:link w:val="6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4">
    <w:name w:val="Footer"/>
    <w:basedOn w:val="66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60"/>
    <w:next w:val="6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6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6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60"/>
    <w:next w:val="66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0"/>
    <w:next w:val="66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0"/>
    <w:next w:val="66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0"/>
    <w:next w:val="66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0"/>
    <w:next w:val="66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0"/>
    <w:next w:val="66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0"/>
    <w:next w:val="66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0"/>
    <w:next w:val="66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0"/>
    <w:next w:val="66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0"/>
    <w:next w:val="660"/>
    <w:uiPriority w:val="99"/>
    <w:unhideWhenUsed/>
    <w:pPr>
      <w:spacing w:after="0" w:afterAutospacing="0"/>
    </w:pPr>
  </w:style>
  <w:style w:type="paragraph" w:styleId="660" w:default="1">
    <w:name w:val="Normal"/>
    <w:next w:val="660"/>
    <w:link w:val="660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paragraph" w:styleId="661">
    <w:name w:val="Заголовок 1"/>
    <w:basedOn w:val="660"/>
    <w:next w:val="660"/>
    <w:link w:val="665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character" w:styleId="662">
    <w:name w:val="Основной шрифт абзаца"/>
    <w:next w:val="662"/>
    <w:link w:val="660"/>
    <w:semiHidden/>
  </w:style>
  <w:style w:type="table" w:styleId="663">
    <w:name w:val="Обычная таблица"/>
    <w:next w:val="663"/>
    <w:link w:val="660"/>
    <w:semiHidden/>
    <w:tblPr/>
  </w:style>
  <w:style w:type="numbering" w:styleId="664">
    <w:name w:val="Нет списка"/>
    <w:next w:val="664"/>
    <w:link w:val="660"/>
    <w:semiHidden/>
  </w:style>
  <w:style w:type="character" w:styleId="665">
    <w:name w:val="Заголовок 1 Знак"/>
    <w:next w:val="665"/>
    <w:link w:val="661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styleId="666">
    <w:name w:val="Нормальный (таблица)"/>
    <w:basedOn w:val="660"/>
    <w:next w:val="660"/>
    <w:link w:val="660"/>
    <w:pPr>
      <w:ind w:firstLine="0"/>
    </w:pPr>
  </w:style>
  <w:style w:type="paragraph" w:styleId="667">
    <w:name w:val="Прижатый влево"/>
    <w:basedOn w:val="660"/>
    <w:next w:val="660"/>
    <w:link w:val="660"/>
    <w:pPr>
      <w:ind w:firstLine="0"/>
      <w:jc w:val="left"/>
    </w:pPr>
  </w:style>
  <w:style w:type="paragraph" w:styleId="668">
    <w:name w:val="Верхний колонтитул"/>
    <w:basedOn w:val="660"/>
    <w:next w:val="668"/>
    <w:link w:val="669"/>
    <w:unhideWhenUsed/>
    <w:pPr>
      <w:tabs>
        <w:tab w:val="center" w:pos="4677" w:leader="none"/>
        <w:tab w:val="right" w:pos="9355" w:leader="none"/>
      </w:tabs>
    </w:pPr>
  </w:style>
  <w:style w:type="character" w:styleId="669">
    <w:name w:val="Верхний колонтитул Знак"/>
    <w:next w:val="669"/>
    <w:link w:val="668"/>
    <w:rPr>
      <w:rFonts w:ascii="Arial" w:hAnsi="Arial" w:cs="Arial"/>
      <w:sz w:val="24"/>
      <w:szCs w:val="24"/>
      <w:lang w:val="ru-RU" w:eastAsia="ru-RU" w:bidi="ar-SA"/>
    </w:rPr>
  </w:style>
  <w:style w:type="paragraph" w:styleId="670">
    <w:name w:val="ConsPlusCell"/>
    <w:next w:val="670"/>
    <w:link w:val="660"/>
    <w:rPr>
      <w:rFonts w:eastAsia="Calibri"/>
      <w:sz w:val="28"/>
      <w:szCs w:val="28"/>
      <w:lang w:val="ru-RU" w:eastAsia="ru-RU" w:bidi="ar-SA"/>
    </w:rPr>
  </w:style>
  <w:style w:type="paragraph" w:styleId="671">
    <w:name w:val="Основной текст с отступом 2"/>
    <w:basedOn w:val="660"/>
    <w:next w:val="671"/>
    <w:link w:val="672"/>
    <w:semiHidden/>
    <w:unhideWhenUsed/>
    <w:pPr>
      <w:ind w:left="283"/>
      <w:spacing w:after="120" w:line="480" w:lineRule="auto"/>
    </w:pPr>
  </w:style>
  <w:style w:type="character" w:styleId="672">
    <w:name w:val="Основной текст с отступом 2 Знак"/>
    <w:next w:val="672"/>
    <w:link w:val="671"/>
    <w:semiHidden/>
    <w:rPr>
      <w:rFonts w:ascii="Arial" w:hAnsi="Arial" w:cs="Arial"/>
      <w:sz w:val="24"/>
      <w:szCs w:val="24"/>
      <w:lang w:val="ru-RU" w:eastAsia="ru-RU" w:bidi="ar-SA"/>
    </w:rPr>
  </w:style>
  <w:style w:type="paragraph" w:styleId="673">
    <w:name w:val="Без интервала"/>
    <w:next w:val="673"/>
    <w:link w:val="660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paragraph" w:styleId="674">
    <w:name w:val="Основной текст"/>
    <w:basedOn w:val="660"/>
    <w:next w:val="674"/>
    <w:link w:val="660"/>
    <w:pPr>
      <w:spacing w:after="120"/>
    </w:pPr>
  </w:style>
  <w:style w:type="character" w:styleId="675">
    <w:name w:val="Подпись к картинке_"/>
    <w:next w:val="675"/>
    <w:link w:val="676"/>
    <w:rPr>
      <w:sz w:val="27"/>
      <w:szCs w:val="27"/>
      <w:lang w:bidi="ar-SA"/>
    </w:rPr>
  </w:style>
  <w:style w:type="paragraph" w:styleId="676">
    <w:name w:val="Подпись к картинке1"/>
    <w:basedOn w:val="660"/>
    <w:next w:val="676"/>
    <w:link w:val="675"/>
    <w:pPr>
      <w:ind w:firstLine="0"/>
      <w:jc w:val="left"/>
      <w:spacing w:line="240" w:lineRule="atLeast"/>
      <w:shd w:val="clear" w:color="auto" w:fill="ffffff"/>
      <w:widowControl/>
    </w:pPr>
    <w:rPr>
      <w:rFonts w:ascii="Times New Roman" w:hAnsi="Times New Roman" w:cs="Times New Roman"/>
      <w:sz w:val="27"/>
      <w:szCs w:val="27"/>
    </w:rPr>
  </w:style>
  <w:style w:type="character" w:styleId="677">
    <w:name w:val="Header Char"/>
    <w:next w:val="677"/>
    <w:link w:val="660"/>
    <w:semiHidden/>
    <w:rPr>
      <w:rFonts w:cs="Times New Roman"/>
      <w:sz w:val="20"/>
    </w:rPr>
  </w:style>
  <w:style w:type="character" w:styleId="678">
    <w:name w:val="Номер страницы"/>
    <w:next w:val="678"/>
    <w:link w:val="660"/>
    <w:rPr>
      <w:rFonts w:cs="Times New Roman"/>
    </w:rPr>
  </w:style>
  <w:style w:type="paragraph" w:styleId="679">
    <w:name w:val="List Paragraph1"/>
    <w:basedOn w:val="660"/>
    <w:next w:val="679"/>
    <w:link w:val="660"/>
    <w:pPr>
      <w:ind w:left="720" w:firstLine="0"/>
      <w:jc w:val="center"/>
      <w:widowControl/>
    </w:pPr>
    <w:rPr>
      <w:rFonts w:ascii="Calibri" w:hAnsi="Calibri" w:cs="Times New Roman"/>
      <w:sz w:val="22"/>
      <w:szCs w:val="22"/>
      <w:lang w:eastAsia="en-US"/>
    </w:rPr>
  </w:style>
  <w:style w:type="paragraph" w:styleId="680">
    <w:name w:val="ConsPlusNormal"/>
    <w:next w:val="680"/>
    <w:link w:val="66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character" w:styleId="681">
    <w:name w:val="Body Text Indent 2 Char"/>
    <w:next w:val="681"/>
    <w:link w:val="660"/>
    <w:semiHidden/>
    <w:rPr>
      <w:lang w:val="ru-RU" w:eastAsia="ru-RU" w:bidi="ar-SA"/>
    </w:rPr>
  </w:style>
  <w:style w:type="paragraph" w:styleId="682">
    <w:name w:val="Основной текст с отступом"/>
    <w:basedOn w:val="660"/>
    <w:next w:val="682"/>
    <w:link w:val="660"/>
    <w:pPr>
      <w:ind w:left="283"/>
      <w:spacing w:after="120"/>
    </w:pPr>
  </w:style>
  <w:style w:type="paragraph" w:styleId="683">
    <w:name w:val="Нижний колонтитул"/>
    <w:basedOn w:val="660"/>
    <w:next w:val="683"/>
    <w:link w:val="660"/>
    <w:pPr>
      <w:tabs>
        <w:tab w:val="center" w:pos="4677" w:leader="none"/>
        <w:tab w:val="right" w:pos="9355" w:leader="none"/>
      </w:tabs>
    </w:pPr>
  </w:style>
  <w:style w:type="paragraph" w:styleId="684">
    <w:name w:val="Текст выноски"/>
    <w:basedOn w:val="660"/>
    <w:next w:val="684"/>
    <w:link w:val="685"/>
    <w:rPr>
      <w:rFonts w:ascii="Segoe UI" w:hAnsi="Segoe UI" w:cs="Segoe UI"/>
      <w:sz w:val="18"/>
      <w:szCs w:val="18"/>
    </w:rPr>
  </w:style>
  <w:style w:type="character" w:styleId="685">
    <w:name w:val="Текст выноски Знак"/>
    <w:next w:val="685"/>
    <w:link w:val="684"/>
    <w:rPr>
      <w:rFonts w:ascii="Segoe UI" w:hAnsi="Segoe UI" w:cs="Segoe UI"/>
      <w:sz w:val="18"/>
      <w:szCs w:val="18"/>
    </w:rPr>
  </w:style>
  <w:style w:type="paragraph" w:styleId="686">
    <w:name w:val="Обычный (веб)"/>
    <w:basedOn w:val="660"/>
    <w:next w:val="686"/>
    <w:link w:val="660"/>
    <w:uiPriority w:val="99"/>
    <w:unhideWhenUsed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</w:rPr>
  </w:style>
  <w:style w:type="table" w:styleId="687">
    <w:name w:val="Сетка таблицы"/>
    <w:basedOn w:val="663"/>
    <w:next w:val="687"/>
    <w:link w:val="660"/>
    <w:tblPr/>
  </w:style>
  <w:style w:type="character" w:styleId="2610" w:default="1">
    <w:name w:val="Default Paragraph Font"/>
    <w:uiPriority w:val="1"/>
    <w:semiHidden/>
    <w:unhideWhenUsed/>
  </w:style>
  <w:style w:type="numbering" w:styleId="2611" w:default="1">
    <w:name w:val="No List"/>
    <w:uiPriority w:val="99"/>
    <w:semiHidden/>
    <w:unhideWhenUsed/>
  </w:style>
  <w:style w:type="table" w:styleId="261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Организация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Customer</dc:creator>
  <cp:revision>311</cp:revision>
  <dcterms:created xsi:type="dcterms:W3CDTF">2017-01-31T05:05:00Z</dcterms:created>
  <dcterms:modified xsi:type="dcterms:W3CDTF">2026-02-27T13:33:16Z</dcterms:modified>
  <cp:version>917504</cp:version>
</cp:coreProperties>
</file>